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53F54">
      <w:pPr>
        <w:jc w:val="center"/>
        <w:rPr>
          <w:rFonts w:ascii="仿宋_GB2312" w:eastAsia="仿宋_GB2312"/>
          <w:b/>
          <w:sz w:val="32"/>
          <w:szCs w:val="32"/>
        </w:rPr>
      </w:pPr>
    </w:p>
    <w:p w14:paraId="0F115C5F">
      <w:pPr>
        <w:jc w:val="center"/>
        <w:rPr>
          <w:rFonts w:ascii="黑体" w:eastAsia="黑体"/>
          <w:sz w:val="72"/>
          <w:szCs w:val="72"/>
        </w:rPr>
      </w:pPr>
    </w:p>
    <w:p w14:paraId="1748122F">
      <w:pPr>
        <w:jc w:val="center"/>
        <w:rPr>
          <w:rFonts w:ascii="黑体" w:eastAsia="黑体"/>
          <w:sz w:val="72"/>
          <w:szCs w:val="72"/>
        </w:rPr>
      </w:pPr>
    </w:p>
    <w:p w14:paraId="555173E5">
      <w:pPr>
        <w:jc w:val="center"/>
        <w:rPr>
          <w:rFonts w:ascii="黑体" w:eastAsia="黑体"/>
          <w:sz w:val="72"/>
          <w:szCs w:val="72"/>
        </w:rPr>
      </w:pPr>
    </w:p>
    <w:p w14:paraId="23091747">
      <w:pPr>
        <w:jc w:val="center"/>
        <w:rPr>
          <w:rFonts w:ascii="黑体" w:eastAsia="黑体"/>
          <w:sz w:val="72"/>
          <w:szCs w:val="72"/>
        </w:rPr>
      </w:pPr>
    </w:p>
    <w:p w14:paraId="6FD94CD8">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53351229">
      <w:pPr>
        <w:jc w:val="center"/>
        <w:rPr>
          <w:rFonts w:ascii="黑体" w:eastAsia="黑体"/>
          <w:sz w:val="52"/>
          <w:szCs w:val="52"/>
        </w:rPr>
      </w:pPr>
    </w:p>
    <w:p w14:paraId="6CDDCEE8">
      <w:pPr>
        <w:jc w:val="center"/>
        <w:rPr>
          <w:rFonts w:ascii="黑体" w:eastAsia="黑体"/>
          <w:sz w:val="52"/>
          <w:szCs w:val="52"/>
        </w:rPr>
      </w:pPr>
    </w:p>
    <w:p w14:paraId="0267F100">
      <w:pPr>
        <w:jc w:val="center"/>
        <w:rPr>
          <w:rFonts w:ascii="黑体" w:eastAsia="黑体"/>
          <w:sz w:val="52"/>
          <w:szCs w:val="52"/>
        </w:rPr>
      </w:pPr>
    </w:p>
    <w:p w14:paraId="3226DB28">
      <w:pPr>
        <w:jc w:val="center"/>
        <w:rPr>
          <w:rFonts w:ascii="黑体" w:eastAsia="黑体"/>
          <w:sz w:val="52"/>
          <w:szCs w:val="52"/>
        </w:rPr>
      </w:pPr>
    </w:p>
    <w:p w14:paraId="2A07EF5D">
      <w:pPr>
        <w:jc w:val="center"/>
        <w:rPr>
          <w:rFonts w:ascii="黑体" w:eastAsia="黑体"/>
          <w:sz w:val="32"/>
          <w:szCs w:val="32"/>
        </w:rPr>
      </w:pPr>
    </w:p>
    <w:p w14:paraId="7B549990">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40FB1C7F">
      <w:pPr>
        <w:spacing w:line="500" w:lineRule="exact"/>
        <w:ind w:firstLine="645"/>
        <w:jc w:val="center"/>
        <w:rPr>
          <w:rFonts w:hint="eastAsia" w:ascii="宋体" w:hAnsi="宋体" w:cs="宋体"/>
          <w:b/>
          <w:bCs/>
          <w:kern w:val="0"/>
          <w:sz w:val="36"/>
          <w:szCs w:val="36"/>
        </w:rPr>
      </w:pPr>
    </w:p>
    <w:p w14:paraId="7104F992">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4C813C81">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066EC489">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3E8787BB">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242B259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1A090A6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4C36D86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58489C8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75554AC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62FB1FD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4C0BAF8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7C5FF29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3C4D1F6A">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72644066">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15245F22">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06DF5048">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790C39FF">
      <w:pPr>
        <w:tabs>
          <w:tab w:val="center" w:pos="6979"/>
        </w:tabs>
        <w:spacing w:before="156" w:beforeLines="50" w:after="156" w:afterLines="50"/>
        <w:jc w:val="center"/>
        <w:rPr>
          <w:rFonts w:ascii="宋体" w:hAnsi="宋体" w:cs="宋体"/>
          <w:b/>
          <w:bCs/>
          <w:spacing w:val="40"/>
          <w:kern w:val="0"/>
          <w:sz w:val="32"/>
          <w:szCs w:val="32"/>
        </w:rPr>
      </w:pPr>
    </w:p>
    <w:p w14:paraId="0CF07299">
      <w:pPr>
        <w:tabs>
          <w:tab w:val="center" w:pos="6979"/>
        </w:tabs>
        <w:spacing w:before="156" w:beforeLines="50" w:after="156" w:afterLines="50"/>
        <w:jc w:val="center"/>
        <w:rPr>
          <w:rFonts w:ascii="宋体" w:hAnsi="宋体" w:cs="宋体"/>
          <w:b/>
          <w:bCs/>
          <w:spacing w:val="40"/>
          <w:kern w:val="0"/>
          <w:sz w:val="32"/>
          <w:szCs w:val="32"/>
        </w:rPr>
      </w:pPr>
    </w:p>
    <w:p w14:paraId="3436A8F8">
      <w:pPr>
        <w:tabs>
          <w:tab w:val="center" w:pos="6979"/>
        </w:tabs>
        <w:spacing w:before="156" w:beforeLines="50" w:after="156" w:afterLines="50"/>
        <w:jc w:val="center"/>
        <w:rPr>
          <w:rFonts w:ascii="宋体" w:hAnsi="宋体" w:cs="宋体"/>
          <w:b/>
          <w:bCs/>
          <w:spacing w:val="40"/>
          <w:kern w:val="0"/>
          <w:sz w:val="32"/>
          <w:szCs w:val="32"/>
        </w:rPr>
      </w:pPr>
    </w:p>
    <w:p w14:paraId="198ECA3E">
      <w:pPr>
        <w:tabs>
          <w:tab w:val="center" w:pos="6979"/>
        </w:tabs>
        <w:spacing w:before="156" w:beforeLines="50" w:after="156" w:afterLines="50"/>
        <w:jc w:val="center"/>
        <w:rPr>
          <w:rFonts w:ascii="宋体" w:hAnsi="宋体" w:cs="宋体"/>
          <w:b/>
          <w:bCs/>
          <w:spacing w:val="40"/>
          <w:kern w:val="0"/>
          <w:sz w:val="32"/>
          <w:szCs w:val="32"/>
        </w:rPr>
      </w:pPr>
    </w:p>
    <w:p w14:paraId="2F8B95E0">
      <w:pPr>
        <w:tabs>
          <w:tab w:val="center" w:pos="6979"/>
        </w:tabs>
        <w:spacing w:before="156" w:beforeLines="50" w:after="156" w:afterLines="50"/>
        <w:jc w:val="center"/>
        <w:rPr>
          <w:rFonts w:ascii="宋体" w:hAnsi="宋体" w:cs="宋体"/>
          <w:b/>
          <w:bCs/>
          <w:spacing w:val="40"/>
          <w:kern w:val="0"/>
          <w:sz w:val="32"/>
          <w:szCs w:val="32"/>
        </w:rPr>
      </w:pPr>
    </w:p>
    <w:p w14:paraId="6621719A">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71E2A3D8">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68E1597D">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403DA81E">
      <w:pPr>
        <w:tabs>
          <w:tab w:val="center" w:pos="6979"/>
        </w:tabs>
        <w:spacing w:line="580" w:lineRule="exact"/>
        <w:ind w:firstLine="548" w:firstLineChars="196"/>
        <w:rPr>
          <w:rFonts w:hint="eastAsia" w:ascii="黑体" w:eastAsia="黑体"/>
          <w:b/>
          <w:sz w:val="28"/>
          <w:szCs w:val="28"/>
          <w:highlight w:val="none"/>
        </w:rPr>
      </w:pPr>
      <w:r>
        <w:rPr>
          <w:rFonts w:hint="eastAsia" w:ascii="黑体" w:eastAsia="黑体"/>
          <w:b/>
          <w:sz w:val="28"/>
          <w:szCs w:val="28"/>
          <w:highlight w:val="none"/>
        </w:rPr>
        <w:t>一、部门基本情况</w:t>
      </w:r>
    </w:p>
    <w:p w14:paraId="5793F062">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hint="eastAsia" w:ascii="仿宋_GB2312" w:hAnsi="Times New Roman" w:eastAsia="仿宋_GB2312" w:cs="Times New Roman"/>
          <w:b w:val="0"/>
          <w:bCs w:val="0"/>
          <w:kern w:val="2"/>
          <w:sz w:val="28"/>
          <w:szCs w:val="28"/>
          <w:highlight w:val="none"/>
          <w:lang w:val="en-US" w:eastAsia="zh-CN" w:bidi="ar-SA"/>
        </w:rPr>
      </w:pPr>
      <w:r>
        <w:rPr>
          <w:rFonts w:hint="eastAsia" w:ascii="仿宋_GB2312" w:eastAsia="仿宋_GB2312"/>
          <w:sz w:val="28"/>
          <w:szCs w:val="28"/>
          <w:highlight w:val="none"/>
        </w:rPr>
        <w:t>北京化学工业集团有限责任公司成立于1958年,是北京市人民政府出资设立、北京市人民政府国有资产监督管理委员会监管的国有大型企业。主要经营领域包括精细化工产品、橡塑乳胶制品、工程塑料等专业化工制造及服务；科技服务、文化创意、房地产开发及物业置业等。</w:t>
      </w:r>
      <w:r>
        <w:rPr>
          <w:rFonts w:hint="eastAsia" w:ascii="仿宋_GB2312" w:hAnsi="Times New Roman" w:eastAsia="仿宋_GB2312" w:cs="Times New Roman"/>
          <w:b w:val="0"/>
          <w:bCs w:val="0"/>
          <w:kern w:val="2"/>
          <w:sz w:val="28"/>
          <w:szCs w:val="28"/>
          <w:highlight w:val="none"/>
          <w:lang w:val="en-US" w:eastAsia="zh-CN" w:bidi="ar-SA"/>
        </w:rPr>
        <w:t>内设经理办公室、党委办公室、党委组织部、党群工作部、纪委综合室、投融资部、生物医药事业部、财务部、科技创新部、新材料事业部</w:t>
      </w:r>
      <w:bookmarkStart w:id="0" w:name="_GoBack"/>
      <w:bookmarkEnd w:id="0"/>
      <w:r>
        <w:rPr>
          <w:rFonts w:hint="eastAsia" w:ascii="仿宋_GB2312" w:hAnsi="Times New Roman" w:eastAsia="仿宋_GB2312" w:cs="Times New Roman"/>
          <w:b w:val="0"/>
          <w:bCs w:val="0"/>
          <w:kern w:val="2"/>
          <w:sz w:val="28"/>
          <w:szCs w:val="28"/>
          <w:highlight w:val="none"/>
          <w:lang w:val="en-US" w:eastAsia="zh-CN" w:bidi="ar-SA"/>
        </w:rPr>
        <w:t>、人力资源部、化学事业部、风控法务部、安全质量部、审计部、企业发展部及信访办公室17个职能部室。</w:t>
      </w:r>
    </w:p>
    <w:p w14:paraId="6C401AB4">
      <w:pPr>
        <w:keepNext w:val="0"/>
        <w:keepLines w:val="0"/>
        <w:pageBreakBefore w:val="0"/>
        <w:widowControl w:val="0"/>
        <w:tabs>
          <w:tab w:val="center" w:pos="6979"/>
        </w:tabs>
        <w:kinsoku/>
        <w:wordWrap/>
        <w:overflowPunct/>
        <w:topLinePunct w:val="0"/>
        <w:autoSpaceDE/>
        <w:autoSpaceDN/>
        <w:bidi w:val="0"/>
        <w:adjustRightInd/>
        <w:snapToGrid/>
        <w:spacing w:line="580" w:lineRule="exact"/>
        <w:ind w:firstLine="560" w:firstLineChars="200"/>
        <w:textAlignment w:val="auto"/>
        <w:rPr>
          <w:rFonts w:hint="eastAsia" w:ascii="仿宋_GB2312" w:hAnsi="Times New Roman" w:eastAsia="仿宋_GB2312" w:cs="Times New Roman"/>
          <w:b w:val="0"/>
          <w:bCs w:val="0"/>
          <w:kern w:val="2"/>
          <w:sz w:val="28"/>
          <w:szCs w:val="28"/>
          <w:highlight w:val="none"/>
          <w:lang w:val="en-US" w:eastAsia="zh-CN" w:bidi="ar-SA"/>
        </w:rPr>
      </w:pPr>
      <w:r>
        <w:rPr>
          <w:rFonts w:hint="eastAsia" w:ascii="仿宋_GB2312" w:hAnsi="Times New Roman" w:eastAsia="仿宋_GB2312" w:cs="Times New Roman"/>
          <w:b w:val="0"/>
          <w:bCs w:val="0"/>
          <w:kern w:val="2"/>
          <w:sz w:val="28"/>
          <w:szCs w:val="28"/>
          <w:highlight w:val="none"/>
          <w:lang w:val="en-US" w:eastAsia="zh-CN" w:bidi="ar-SA"/>
        </w:rPr>
        <w:t>北京化工集团所属1个预算单位，北京市工业技师学院。</w:t>
      </w:r>
    </w:p>
    <w:p w14:paraId="74EC25B3">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0847EE35">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19597.09</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减少618.30万元，下降</w:t>
      </w:r>
      <w:r>
        <w:rPr>
          <w:rFonts w:hint="eastAsia" w:ascii="仿宋_GB2312" w:eastAsia="仿宋_GB2312"/>
          <w:sz w:val="28"/>
          <w:szCs w:val="28"/>
          <w:lang w:val="en-US" w:eastAsia="zh-CN"/>
        </w:rPr>
        <w:t>3.06</w:t>
      </w:r>
      <w:r>
        <w:rPr>
          <w:rFonts w:hint="eastAsia" w:ascii="仿宋_GB2312" w:eastAsia="仿宋_GB2312"/>
          <w:sz w:val="28"/>
          <w:szCs w:val="28"/>
        </w:rPr>
        <w:t>%。</w:t>
      </w:r>
    </w:p>
    <w:p w14:paraId="3A92501B">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3B306612">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17876.63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1177.90</w:t>
      </w:r>
      <w:r>
        <w:rPr>
          <w:rFonts w:hint="eastAsia" w:ascii="仿宋_GB2312" w:eastAsia="仿宋_GB2312"/>
          <w:sz w:val="28"/>
          <w:szCs w:val="28"/>
        </w:rPr>
        <w:t>万元，下降</w:t>
      </w:r>
      <w:r>
        <w:rPr>
          <w:rFonts w:hint="eastAsia" w:ascii="仿宋_GB2312" w:eastAsia="仿宋_GB2312"/>
          <w:sz w:val="28"/>
          <w:szCs w:val="28"/>
          <w:lang w:val="en-US" w:eastAsia="zh-CN"/>
        </w:rPr>
        <w:t>6.18</w:t>
      </w:r>
      <w:r>
        <w:rPr>
          <w:rFonts w:hint="eastAsia" w:ascii="仿宋_GB2312" w:eastAsia="仿宋_GB2312"/>
          <w:sz w:val="28"/>
          <w:szCs w:val="28"/>
        </w:rPr>
        <w:t>%</w:t>
      </w:r>
      <w:r>
        <w:rPr>
          <w:rFonts w:hint="eastAsia" w:ascii="仿宋_GB2312" w:eastAsia="仿宋_GB2312"/>
          <w:sz w:val="28"/>
          <w:szCs w:val="28"/>
          <w:lang w:eastAsia="zh-CN"/>
        </w:rPr>
        <w:t>。</w:t>
      </w:r>
    </w:p>
    <w:p w14:paraId="5EC9C7C1">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15608.3</w:t>
      </w:r>
      <w:r>
        <w:rPr>
          <w:rFonts w:hint="eastAsia" w:ascii="仿宋_GB2312" w:eastAsia="仿宋_GB2312"/>
          <w:sz w:val="28"/>
          <w:szCs w:val="28"/>
          <w:lang w:val="en-US" w:eastAsia="zh-CN"/>
        </w:rPr>
        <w:t>0</w:t>
      </w:r>
      <w:r>
        <w:rPr>
          <w:rFonts w:hint="eastAsia" w:ascii="仿宋_GB2312" w:eastAsia="仿宋_GB2312"/>
          <w:sz w:val="28"/>
          <w:szCs w:val="28"/>
        </w:rPr>
        <w:t>万元，占收入合计的</w:t>
      </w:r>
      <w:r>
        <w:rPr>
          <w:rFonts w:hint="eastAsia" w:ascii="仿宋_GB2312" w:eastAsia="仿宋_GB2312"/>
          <w:sz w:val="28"/>
          <w:szCs w:val="28"/>
          <w:lang w:eastAsia="zh-CN"/>
        </w:rPr>
        <w:t>87.31%。</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15608.3</w:t>
      </w:r>
      <w:r>
        <w:rPr>
          <w:rFonts w:hint="eastAsia" w:ascii="仿宋_GB2312" w:eastAsia="仿宋_GB2312"/>
          <w:sz w:val="28"/>
          <w:szCs w:val="28"/>
        </w:rPr>
        <w:t>万元，占收入合计的</w:t>
      </w:r>
      <w:r>
        <w:rPr>
          <w:rFonts w:hint="eastAsia" w:ascii="仿宋_GB2312" w:eastAsia="仿宋_GB2312"/>
          <w:sz w:val="28"/>
          <w:szCs w:val="28"/>
          <w:lang w:eastAsia="zh-CN"/>
        </w:rPr>
        <w:t>87.31</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A5D65DB">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6AEAD30">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461.92</w:t>
      </w:r>
      <w:r>
        <w:rPr>
          <w:rFonts w:hint="eastAsia" w:ascii="仿宋_GB2312" w:eastAsia="仿宋_GB2312"/>
          <w:sz w:val="28"/>
          <w:szCs w:val="28"/>
        </w:rPr>
        <w:t>万元，占收入合计的</w:t>
      </w:r>
      <w:r>
        <w:rPr>
          <w:rFonts w:hint="eastAsia" w:ascii="仿宋_GB2312" w:eastAsia="仿宋_GB2312"/>
          <w:sz w:val="28"/>
          <w:szCs w:val="28"/>
          <w:lang w:eastAsia="zh-CN"/>
        </w:rPr>
        <w:t>2.5</w:t>
      </w:r>
      <w:r>
        <w:rPr>
          <w:rFonts w:hint="eastAsia" w:ascii="仿宋_GB2312" w:eastAsia="仿宋_GB2312"/>
          <w:sz w:val="28"/>
          <w:szCs w:val="28"/>
          <w:lang w:val="en-US" w:eastAsia="zh-CN"/>
        </w:rPr>
        <w:t>9</w:t>
      </w:r>
      <w:r>
        <w:rPr>
          <w:rFonts w:hint="eastAsia" w:ascii="仿宋_GB2312" w:eastAsia="仿宋_GB2312"/>
          <w:sz w:val="28"/>
          <w:szCs w:val="28"/>
        </w:rPr>
        <w:t>%；</w:t>
      </w:r>
    </w:p>
    <w:p w14:paraId="043C210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1664.82</w:t>
      </w:r>
      <w:r>
        <w:rPr>
          <w:rFonts w:hint="eastAsia" w:ascii="仿宋_GB2312" w:eastAsia="仿宋_GB2312"/>
          <w:sz w:val="28"/>
          <w:szCs w:val="28"/>
        </w:rPr>
        <w:t>万元，占收入合计的</w:t>
      </w:r>
      <w:r>
        <w:rPr>
          <w:rFonts w:hint="eastAsia" w:ascii="仿宋_GB2312" w:eastAsia="仿宋_GB2312"/>
          <w:sz w:val="28"/>
          <w:szCs w:val="28"/>
          <w:lang w:eastAsia="zh-CN"/>
        </w:rPr>
        <w:t>9.31</w:t>
      </w:r>
      <w:r>
        <w:rPr>
          <w:rFonts w:hint="eastAsia" w:ascii="仿宋_GB2312" w:eastAsia="仿宋_GB2312"/>
          <w:sz w:val="28"/>
          <w:szCs w:val="28"/>
        </w:rPr>
        <w:t>%；</w:t>
      </w:r>
    </w:p>
    <w:p w14:paraId="712A513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1C1C4A2">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141.59</w:t>
      </w:r>
      <w:r>
        <w:rPr>
          <w:rFonts w:hint="eastAsia" w:ascii="仿宋_GB2312" w:eastAsia="仿宋_GB2312"/>
          <w:sz w:val="28"/>
          <w:szCs w:val="28"/>
        </w:rPr>
        <w:t>万元，占收入合计的</w:t>
      </w:r>
      <w:r>
        <w:rPr>
          <w:rFonts w:hint="eastAsia" w:ascii="仿宋_GB2312" w:eastAsia="仿宋_GB2312"/>
          <w:sz w:val="28"/>
          <w:szCs w:val="28"/>
          <w:lang w:eastAsia="zh-CN"/>
        </w:rPr>
        <w:t>0.79</w:t>
      </w:r>
      <w:r>
        <w:rPr>
          <w:rFonts w:hint="eastAsia" w:ascii="仿宋_GB2312" w:eastAsia="仿宋_GB2312"/>
          <w:sz w:val="28"/>
          <w:szCs w:val="28"/>
        </w:rPr>
        <w:t>%。</w:t>
      </w:r>
    </w:p>
    <w:p w14:paraId="41547606">
      <w:pPr>
        <w:pStyle w:val="2"/>
        <w:ind w:firstLine="0"/>
        <w:jc w:val="center"/>
      </w:pPr>
      <w:r>
        <w:rPr>
          <w:rFonts w:hint="eastAsia" w:ascii="仿宋_GB2312" w:eastAsia="仿宋_GB2312"/>
          <w:color w:val="000000"/>
          <w:sz w:val="32"/>
          <w:szCs w:val="32"/>
          <w:highlight w:val="none"/>
          <w:lang w:val="en-US" w:eastAsia="zh-CN"/>
        </w:rPr>
        <w:t>图1：收入决算</w:t>
      </w:r>
    </w:p>
    <w:p w14:paraId="7AE1F031">
      <w:pPr>
        <w:pStyle w:val="3"/>
        <w:ind w:firstLine="420"/>
        <w:jc w:val="center"/>
      </w:pPr>
      <w:r>
        <w:drawing>
          <wp:inline distT="0" distB="0" distL="0" distR="0">
            <wp:extent cx="4036695" cy="2328545"/>
            <wp:effectExtent l="4445" t="4445" r="12700" b="1397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A607C9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69E20382">
      <w:pPr>
        <w:spacing w:line="560" w:lineRule="exact"/>
        <w:ind w:firstLine="640"/>
        <w:rPr>
          <w:rFonts w:hint="eastAsia" w:ascii="仿宋_GB2312" w:eastAsia="仿宋_GB2312" w:cs="Droid Sans"/>
          <w:color w:val="000000"/>
          <w:sz w:val="32"/>
          <w:szCs w:val="32"/>
          <w:highlight w:val="none"/>
          <w:lang w:eastAsia="zh-CN"/>
        </w:rPr>
      </w:pPr>
      <w:r>
        <w:rPr>
          <w:rFonts w:hint="eastAsia" w:ascii="仿宋_GB2312" w:eastAsia="仿宋_GB2312"/>
          <w:sz w:val="28"/>
          <w:szCs w:val="28"/>
        </w:rPr>
        <w:t>2024年度本年支出合计18782.37万元，比上年增加391.88万元，增长2.13%，其中：基本支出12144.38万元，占支出合计的64.66%；项目支出5172.85万元，占支出合计的27.54%;上缴上级支出0万元，占支出合计的0%；经营支出1465.14万元，占支出合计的7.80%；对附属单位补助支出0万元，占支出合计的0%。</w:t>
      </w:r>
    </w:p>
    <w:p w14:paraId="018A69BF">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2BDE6D4C">
      <w:pPr>
        <w:jc w:val="center"/>
        <w:rPr>
          <w:rFonts w:ascii="黑体" w:eastAsia="黑体"/>
          <w:b/>
          <w:sz w:val="28"/>
          <w:szCs w:val="28"/>
        </w:rPr>
      </w:pPr>
      <w:r>
        <w:drawing>
          <wp:inline distT="0" distB="0" distL="114300" distR="114300">
            <wp:extent cx="4572000" cy="2743200"/>
            <wp:effectExtent l="4445" t="4445" r="10795" b="1079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DD319E3">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6DD03C8B">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16142.6</w:t>
      </w:r>
      <w:r>
        <w:rPr>
          <w:rFonts w:hint="eastAsia" w:ascii="仿宋_GB2312" w:eastAsia="仿宋_GB2312"/>
          <w:sz w:val="28"/>
          <w:szCs w:val="28"/>
        </w:rPr>
        <w:t>万元，比上年减少978.24万元，下降</w:t>
      </w:r>
      <w:r>
        <w:rPr>
          <w:rFonts w:hint="eastAsia" w:ascii="仿宋_GB2312" w:eastAsia="仿宋_GB2312"/>
          <w:sz w:val="28"/>
          <w:szCs w:val="28"/>
          <w:lang w:val="en-US" w:eastAsia="zh-CN"/>
        </w:rPr>
        <w:t>5.71</w:t>
      </w:r>
      <w:r>
        <w:rPr>
          <w:rFonts w:hint="eastAsia" w:ascii="仿宋_GB2312" w:eastAsia="仿宋_GB2312"/>
          <w:sz w:val="28"/>
          <w:szCs w:val="28"/>
        </w:rPr>
        <w:t>%。主要原因：落实政府过紧日子要求，厉行勤俭节约，减少费用支出。</w:t>
      </w:r>
    </w:p>
    <w:p w14:paraId="5C5ACBFE">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57ECFEE9">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3C53DF1C">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2024年度一般公共预算财政拨款支出16009.07万元，主要用于以下方面：教育支出16009.07万元，占本年财政拨款支出100%。</w:t>
      </w:r>
    </w:p>
    <w:p w14:paraId="213F3C29">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4FD5BAC1">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1、“教育支出”（类）2024年度年初预算16124.14万元，2024年度决算16009.07万元，完成年初预算的99.29%。</w:t>
      </w:r>
    </w:p>
    <w:p w14:paraId="714D284C">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其中：</w:t>
      </w:r>
    </w:p>
    <w:p w14:paraId="728BFCDA">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“教育支出”(款）2024年度年初预算16124.14万元，2024年度决算16009.07万元，完成年初预算的99.29%。主要原因：落实政府过紧日子要求，厉行勤俭节约，减少费用支出。</w:t>
      </w:r>
    </w:p>
    <w:p w14:paraId="32B9D197">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3F5BE922">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本</w:t>
      </w:r>
      <w:r>
        <w:rPr>
          <w:rFonts w:hint="eastAsia" w:ascii="仿宋_GB2312" w:eastAsia="仿宋_GB2312"/>
          <w:sz w:val="28"/>
          <w:szCs w:val="28"/>
          <w:lang w:eastAsia="zh-CN"/>
        </w:rPr>
        <w:t>部门</w:t>
      </w:r>
      <w:r>
        <w:rPr>
          <w:rFonts w:hint="eastAsia" w:ascii="仿宋_GB2312" w:eastAsia="仿宋_GB2312"/>
          <w:sz w:val="28"/>
          <w:szCs w:val="28"/>
        </w:rPr>
        <w:t>无此项支出。</w:t>
      </w:r>
    </w:p>
    <w:p w14:paraId="4F30A379">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146F7355">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62EFCC98">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182B104A">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10871.19</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3402DA6B">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477F6B6D">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02C833E6">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2EB84C2D">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27.14</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29.52</w:t>
      </w:r>
      <w:r>
        <w:rPr>
          <w:rFonts w:hint="eastAsia" w:ascii="仿宋_GB2312" w:eastAsia="仿宋_GB2312"/>
          <w:sz w:val="28"/>
          <w:szCs w:val="28"/>
        </w:rPr>
        <w:t>万元减少</w:t>
      </w:r>
      <w:r>
        <w:rPr>
          <w:rFonts w:ascii="仿宋_GB2312" w:eastAsia="仿宋_GB2312"/>
          <w:sz w:val="28"/>
          <w:szCs w:val="28"/>
        </w:rPr>
        <w:t>2.38</w:t>
      </w:r>
      <w:r>
        <w:rPr>
          <w:rFonts w:hint="eastAsia" w:ascii="仿宋_GB2312" w:eastAsia="仿宋_GB2312"/>
          <w:sz w:val="28"/>
          <w:szCs w:val="28"/>
        </w:rPr>
        <w:t>万元。其中：</w:t>
      </w:r>
    </w:p>
    <w:p w14:paraId="3F18A326">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持平</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eastAsia="zh-CN"/>
        </w:rPr>
        <w:t>0</w:t>
      </w:r>
      <w:r>
        <w:rPr>
          <w:rFonts w:hint="eastAsia" w:ascii="仿宋_GB2312" w:eastAsia="仿宋_GB2312"/>
          <w:sz w:val="28"/>
          <w:szCs w:val="28"/>
        </w:rPr>
        <w:t>个、</w:t>
      </w:r>
      <w:r>
        <w:rPr>
          <w:rFonts w:hint="eastAsia" w:ascii="仿宋_GB2312" w:eastAsia="仿宋_GB2312"/>
          <w:sz w:val="28"/>
          <w:szCs w:val="28"/>
          <w:lang w:eastAsia="zh-CN"/>
        </w:rPr>
        <w:t>0</w:t>
      </w:r>
      <w:r>
        <w:rPr>
          <w:rFonts w:hint="eastAsia" w:ascii="仿宋_GB2312" w:eastAsia="仿宋_GB2312"/>
          <w:sz w:val="28"/>
          <w:szCs w:val="28"/>
        </w:rPr>
        <w:t>人次。</w:t>
      </w:r>
    </w:p>
    <w:p w14:paraId="78697765">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与</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hint="eastAsia" w:ascii="仿宋_GB2312" w:eastAsia="仿宋_GB2312"/>
          <w:sz w:val="28"/>
          <w:szCs w:val="28"/>
          <w:lang w:eastAsia="zh-CN"/>
        </w:rPr>
        <w:t>持平</w:t>
      </w:r>
      <w:r>
        <w:rPr>
          <w:rFonts w:hint="eastAsia" w:ascii="仿宋_GB2312" w:eastAsia="仿宋_GB2312"/>
          <w:sz w:val="28"/>
          <w:szCs w:val="28"/>
        </w:rPr>
        <w:t>。公务接待</w:t>
      </w:r>
      <w:r>
        <w:rPr>
          <w:rFonts w:hint="eastAsia" w:ascii="仿宋_GB2312" w:eastAsia="仿宋_GB2312"/>
          <w:sz w:val="28"/>
          <w:szCs w:val="28"/>
          <w:lang w:eastAsia="zh-CN"/>
        </w:rPr>
        <w:t>0</w:t>
      </w:r>
      <w:r>
        <w:rPr>
          <w:rFonts w:hint="eastAsia" w:ascii="仿宋_GB2312" w:eastAsia="仿宋_GB2312"/>
          <w:sz w:val="28"/>
          <w:szCs w:val="28"/>
        </w:rPr>
        <w:t>批次，公务接待</w:t>
      </w:r>
      <w:r>
        <w:rPr>
          <w:rFonts w:hint="eastAsia" w:ascii="仿宋_GB2312" w:eastAsia="仿宋_GB2312"/>
          <w:sz w:val="28"/>
          <w:szCs w:val="28"/>
          <w:lang w:eastAsia="zh-CN"/>
        </w:rPr>
        <w:t>0</w:t>
      </w:r>
      <w:r>
        <w:rPr>
          <w:rFonts w:hint="eastAsia" w:ascii="仿宋_GB2312" w:eastAsia="仿宋_GB2312"/>
          <w:sz w:val="28"/>
          <w:szCs w:val="28"/>
        </w:rPr>
        <w:t>人次。</w:t>
      </w:r>
    </w:p>
    <w:p w14:paraId="4BDC3A14">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27.14</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29.52</w:t>
      </w:r>
      <w:r>
        <w:rPr>
          <w:rFonts w:hint="eastAsia" w:ascii="仿宋_GB2312" w:eastAsia="仿宋_GB2312"/>
          <w:sz w:val="28"/>
          <w:szCs w:val="28"/>
        </w:rPr>
        <w:t>万元减少</w:t>
      </w:r>
      <w:r>
        <w:rPr>
          <w:rFonts w:ascii="仿宋_GB2312" w:eastAsia="仿宋_GB2312"/>
          <w:sz w:val="28"/>
          <w:szCs w:val="28"/>
        </w:rPr>
        <w:t>2.38</w:t>
      </w:r>
      <w:r>
        <w:rPr>
          <w:rFonts w:hint="eastAsia" w:ascii="仿宋_GB2312" w:eastAsia="仿宋_GB2312"/>
          <w:sz w:val="28"/>
          <w:szCs w:val="28"/>
        </w:rPr>
        <w:t>万元。其中，公务用车购置费2024年度决算数24.98万元，与2024年度年初预算数持平，2024年度购置（更新）1辆。公务用车运行维护费2024年度决算数2.16万元，比2024年度年初预算数4.54万元减少2.38万元，主要原因：落实政府过紧日子要求，厉行勤俭节约，减少费用支出。2024年度公务用车保有量4辆。</w:t>
      </w:r>
    </w:p>
    <w:p w14:paraId="4C69348A">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2F2C5465">
      <w:pPr>
        <w:ind w:left="540"/>
        <w:rPr>
          <w:rFonts w:hint="eastAsia" w:ascii="仿宋_GB2312" w:eastAsia="仿宋_GB2312"/>
          <w:sz w:val="28"/>
          <w:szCs w:val="28"/>
        </w:rPr>
      </w:pPr>
      <w:r>
        <w:rPr>
          <w:rFonts w:hint="eastAsia" w:ascii="仿宋_GB2312" w:eastAsia="仿宋_GB2312"/>
          <w:sz w:val="28"/>
          <w:szCs w:val="28"/>
        </w:rPr>
        <w:t>我</w:t>
      </w:r>
      <w:r>
        <w:rPr>
          <w:rFonts w:hint="eastAsia" w:ascii="仿宋_GB2312" w:eastAsia="仿宋_GB2312"/>
          <w:sz w:val="28"/>
          <w:szCs w:val="28"/>
          <w:lang w:eastAsia="zh-CN"/>
        </w:rPr>
        <w:t>部门</w:t>
      </w:r>
      <w:r>
        <w:rPr>
          <w:rFonts w:hint="eastAsia" w:ascii="仿宋_GB2312" w:eastAsia="仿宋_GB2312"/>
          <w:sz w:val="28"/>
          <w:szCs w:val="28"/>
        </w:rPr>
        <w:t>不在机关运行经费统计范围之内。</w:t>
      </w:r>
    </w:p>
    <w:p w14:paraId="66C935F6">
      <w:pPr>
        <w:ind w:left="540"/>
        <w:rPr>
          <w:rFonts w:hint="eastAsia" w:ascii="黑体" w:eastAsia="黑体"/>
          <w:sz w:val="28"/>
          <w:szCs w:val="28"/>
        </w:rPr>
      </w:pPr>
      <w:r>
        <w:rPr>
          <w:rFonts w:hint="eastAsia" w:ascii="黑体" w:eastAsia="黑体"/>
          <w:sz w:val="28"/>
          <w:szCs w:val="28"/>
        </w:rPr>
        <w:t>三、政府采购支出情况</w:t>
      </w:r>
    </w:p>
    <w:p w14:paraId="4D7FA53C">
      <w:pPr>
        <w:ind w:firstLine="560" w:firstLineChars="200"/>
        <w:rPr>
          <w:rFonts w:hint="eastAsia" w:ascii="仿宋_GB2312" w:eastAsia="仿宋_GB2312"/>
          <w:sz w:val="28"/>
          <w:szCs w:val="28"/>
        </w:rPr>
      </w:pPr>
      <w:r>
        <w:rPr>
          <w:rFonts w:hint="eastAsia" w:ascii="仿宋_GB2312" w:eastAsia="仿宋_GB2312"/>
          <w:sz w:val="28"/>
          <w:szCs w:val="28"/>
        </w:rPr>
        <w:t>2024年度政府采购支出总额3399.34万元，其中：政府采购货物支出1252.62万元，政府采购工程支出1883.16万元，政府采购服务支出263.56万元。授予中小企业合同金额2136.45万元，占政府采购支出总额的62.85%，其中：授予小微企业合同金额1094.51万元，占政府采购支出总额的32.20%。</w:t>
      </w:r>
    </w:p>
    <w:p w14:paraId="2A349F7A">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2504B754">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12月31日，北京市工业技师学院</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4</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42</w:t>
      </w:r>
      <w:r>
        <w:rPr>
          <w:rFonts w:hint="eastAsia" w:ascii="仿宋_GB2312" w:eastAsia="仿宋_GB2312"/>
          <w:sz w:val="28"/>
          <w:szCs w:val="28"/>
        </w:rPr>
        <w:t>台（套）。</w:t>
      </w:r>
    </w:p>
    <w:p w14:paraId="5D89512E">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0EB000CE">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7E96A61A">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6EE7A4B3">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0B61319E">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75EA9D71">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66FFEC3F">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7AF7A4B6">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728F8F39">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76844D72">
      <w:pPr>
        <w:numPr>
          <w:ilvl w:val="0"/>
          <w:numId w:val="0"/>
        </w:numPr>
        <w:ind w:firstLine="552" w:firstLineChars="200"/>
        <w:rPr>
          <w:rFonts w:hint="eastAsia" w:ascii="仿宋_GB2312" w:eastAsia="仿宋_GB2312"/>
          <w:b w:val="0"/>
          <w:bCs/>
          <w:sz w:val="28"/>
          <w:szCs w:val="28"/>
          <w:highlight w:val="cyan"/>
          <w:lang w:val="en-US" w:eastAsia="zh-CN"/>
        </w:rPr>
      </w:pPr>
      <w:r>
        <w:rPr>
          <w:rFonts w:hint="eastAsia" w:ascii="仿宋_GB2312" w:eastAsia="仿宋_GB2312"/>
          <w:b w:val="0"/>
          <w:bCs/>
          <w:color w:val="000000"/>
          <w:spacing w:val="-2"/>
          <w:sz w:val="28"/>
          <w:szCs w:val="28"/>
          <w:highlight w:val="cyan"/>
          <w:lang w:val="en-US" w:eastAsia="zh-CN"/>
        </w:rPr>
        <w:t>7.</w:t>
      </w:r>
      <w:r>
        <w:rPr>
          <w:rFonts w:hint="eastAsia" w:ascii="仿宋_GB2312" w:eastAsia="仿宋_GB2312"/>
          <w:b w:val="0"/>
          <w:bCs/>
          <w:color w:val="000000"/>
          <w:spacing w:val="-2"/>
          <w:sz w:val="28"/>
          <w:szCs w:val="28"/>
          <w:highlight w:val="cyan"/>
        </w:rPr>
        <w:t>教育支出（类）职业教育（款）技校教育（项）：反映人力资源社会保障部门举办的技校教育支出。</w:t>
      </w:r>
    </w:p>
    <w:p w14:paraId="7F526D78">
      <w:pPr>
        <w:jc w:val="both"/>
        <w:rPr>
          <w:rFonts w:hint="eastAsia" w:ascii="黑体" w:eastAsia="黑体"/>
          <w:sz w:val="32"/>
          <w:szCs w:val="32"/>
        </w:rPr>
      </w:pPr>
    </w:p>
    <w:p w14:paraId="4AB75DD3">
      <w:pPr>
        <w:tabs>
          <w:tab w:val="center" w:pos="6979"/>
        </w:tabs>
        <w:spacing w:line="380" w:lineRule="exact"/>
        <w:jc w:val="center"/>
        <w:rPr>
          <w:rFonts w:ascii="宋体" w:hAnsi="宋体" w:cs="宋体"/>
          <w:b/>
          <w:bCs/>
          <w:kern w:val="0"/>
          <w:sz w:val="28"/>
          <w:szCs w:val="28"/>
        </w:rPr>
      </w:pPr>
    </w:p>
    <w:p w14:paraId="045B4A52">
      <w:pPr>
        <w:tabs>
          <w:tab w:val="center" w:pos="6979"/>
        </w:tabs>
        <w:spacing w:line="380" w:lineRule="exact"/>
        <w:jc w:val="center"/>
        <w:rPr>
          <w:rFonts w:ascii="宋体" w:hAnsi="宋体" w:cs="宋体"/>
          <w:b/>
          <w:bCs/>
          <w:kern w:val="0"/>
          <w:sz w:val="28"/>
          <w:szCs w:val="28"/>
        </w:rPr>
      </w:pPr>
    </w:p>
    <w:p w14:paraId="4AE6A02D">
      <w:pPr>
        <w:pStyle w:val="2"/>
      </w:pPr>
    </w:p>
    <w:p w14:paraId="7C2E5EE7">
      <w:pPr>
        <w:jc w:val="both"/>
        <w:rPr>
          <w:rFonts w:hint="eastAsia" w:ascii="黑体" w:eastAsia="黑体"/>
          <w:sz w:val="32"/>
          <w:szCs w:val="32"/>
        </w:rPr>
      </w:pPr>
    </w:p>
    <w:p w14:paraId="6F7ACEAB">
      <w:pPr>
        <w:ind w:firstLine="640" w:firstLineChars="200"/>
        <w:jc w:val="center"/>
        <w:rPr>
          <w:rFonts w:hint="eastAsia" w:ascii="黑体" w:eastAsia="黑体"/>
          <w:sz w:val="32"/>
          <w:szCs w:val="32"/>
        </w:rPr>
      </w:pPr>
    </w:p>
    <w:p w14:paraId="4D2A7833">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33C1A877">
      <w:pPr>
        <w:ind w:firstLine="560" w:firstLineChars="200"/>
        <w:rPr>
          <w:rFonts w:hint="eastAsia" w:ascii="黑体" w:eastAsia="黑体"/>
          <w:sz w:val="28"/>
          <w:szCs w:val="28"/>
          <w:highlight w:val="yellow"/>
        </w:rPr>
      </w:pPr>
    </w:p>
    <w:p w14:paraId="3563821F">
      <w:pPr>
        <w:numPr>
          <w:ilvl w:val="0"/>
          <w:numId w:val="1"/>
        </w:numPr>
        <w:ind w:firstLine="560" w:firstLineChars="200"/>
        <w:rPr>
          <w:rFonts w:hint="eastAsia" w:ascii="黑体" w:eastAsia="黑体"/>
          <w:sz w:val="28"/>
          <w:szCs w:val="28"/>
          <w:lang w:eastAsia="zh-CN"/>
        </w:rPr>
      </w:pPr>
      <w:r>
        <w:rPr>
          <w:rFonts w:hint="eastAsia" w:ascii="黑体" w:eastAsia="黑体"/>
          <w:sz w:val="28"/>
          <w:szCs w:val="28"/>
          <w:highlight w:val="none"/>
        </w:rPr>
        <w:t>部门整体绩效评价报告</w:t>
      </w:r>
    </w:p>
    <w:p w14:paraId="4A39535B">
      <w:pPr>
        <w:numPr>
          <w:ilvl w:val="0"/>
          <w:numId w:val="1"/>
        </w:numPr>
        <w:ind w:firstLine="560" w:firstLineChars="200"/>
        <w:rPr>
          <w:rFonts w:ascii="黑体" w:eastAsia="黑体"/>
          <w:sz w:val="28"/>
          <w:szCs w:val="28"/>
        </w:rPr>
      </w:pPr>
      <w:r>
        <w:rPr>
          <w:rFonts w:hint="eastAsia" w:ascii="黑体" w:eastAsia="黑体"/>
          <w:sz w:val="28"/>
          <w:szCs w:val="28"/>
        </w:rPr>
        <w:t>项目支出绩效评价报告</w:t>
      </w:r>
    </w:p>
    <w:p w14:paraId="79740444">
      <w:pPr>
        <w:numPr>
          <w:ilvl w:val="0"/>
          <w:numId w:val="1"/>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p>
    <w:p w14:paraId="5C27DDBF">
      <w:pPr>
        <w:spacing w:line="480" w:lineRule="exact"/>
        <w:rPr>
          <w:rFonts w:hint="eastAsia" w:ascii="仿宋_GB2312" w:hAnsi="仿宋_GB2312" w:eastAsia="仿宋_GB2312" w:cs="仿宋_GB2312"/>
          <w:sz w:val="32"/>
          <w:szCs w:val="32"/>
        </w:rPr>
      </w:pPr>
    </w:p>
    <w:p w14:paraId="3CA8D127">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仿宋">
    <w:panose1 w:val="02010609060101010101"/>
    <w:charset w:val="86"/>
    <w:family w:val="modern"/>
    <w:pitch w:val="default"/>
    <w:sig w:usb0="800002BF" w:usb1="38CF7CFA" w:usb2="00000016" w:usb3="00000000" w:csb0="00040001"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8E0AD">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28E76C13">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F985B">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6DBAA9CC">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3EE1F">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269933B1">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E84BE"/>
    <w:multiLevelType w:val="singleLevel"/>
    <w:tmpl w:val="8D7E84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6561DEA"/>
    <w:rsid w:val="079004AC"/>
    <w:rsid w:val="0BA148CA"/>
    <w:rsid w:val="0C1165C4"/>
    <w:rsid w:val="0D6D544B"/>
    <w:rsid w:val="0DD136FE"/>
    <w:rsid w:val="0F8E2C57"/>
    <w:rsid w:val="1059665E"/>
    <w:rsid w:val="10AC13BA"/>
    <w:rsid w:val="10CE1CF3"/>
    <w:rsid w:val="145A6C1B"/>
    <w:rsid w:val="14B73493"/>
    <w:rsid w:val="167A2FF9"/>
    <w:rsid w:val="18581C69"/>
    <w:rsid w:val="1AEC0734"/>
    <w:rsid w:val="1DEF20B0"/>
    <w:rsid w:val="1F8D1168"/>
    <w:rsid w:val="1F901A12"/>
    <w:rsid w:val="214243FA"/>
    <w:rsid w:val="21AD613C"/>
    <w:rsid w:val="22467189"/>
    <w:rsid w:val="257A14F5"/>
    <w:rsid w:val="27196C26"/>
    <w:rsid w:val="29EF086F"/>
    <w:rsid w:val="2EAA664F"/>
    <w:rsid w:val="2EFFE297"/>
    <w:rsid w:val="301437CA"/>
    <w:rsid w:val="349D1F0A"/>
    <w:rsid w:val="34DD0473"/>
    <w:rsid w:val="3C684897"/>
    <w:rsid w:val="433E495C"/>
    <w:rsid w:val="489F2FD7"/>
    <w:rsid w:val="48DD2B01"/>
    <w:rsid w:val="4AC27CB3"/>
    <w:rsid w:val="4BF72BEF"/>
    <w:rsid w:val="4FA90297"/>
    <w:rsid w:val="4FC41A43"/>
    <w:rsid w:val="51DB3C59"/>
    <w:rsid w:val="550C0952"/>
    <w:rsid w:val="55760B63"/>
    <w:rsid w:val="55762E42"/>
    <w:rsid w:val="57A7B272"/>
    <w:rsid w:val="58470068"/>
    <w:rsid w:val="58747CAC"/>
    <w:rsid w:val="5A1720F9"/>
    <w:rsid w:val="5B9C37C2"/>
    <w:rsid w:val="5BA7C654"/>
    <w:rsid w:val="60A54109"/>
    <w:rsid w:val="61D01CDF"/>
    <w:rsid w:val="64C0607C"/>
    <w:rsid w:val="65756C86"/>
    <w:rsid w:val="674D385B"/>
    <w:rsid w:val="676F09E1"/>
    <w:rsid w:val="6B410000"/>
    <w:rsid w:val="7357290B"/>
    <w:rsid w:val="74A14E40"/>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2"/>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en-US" altLang="zh-CN"/>
                      <a:t>2.59%</a:t>
                    </a:r>
                    <a:endParaRPr lang="en-US" altLang="zh-CN"/>
                  </a:p>
                </c:rich>
              </c:tx>
              <c:dLblPos val="bestFit"/>
              <c:showLegendKey val="0"/>
              <c:showVal val="0"/>
              <c:showCatName val="0"/>
              <c:showSerName val="0"/>
              <c:showPercent val="1"/>
              <c:showBubbleSize val="0"/>
              <c:extLst>
                <c:ext xmlns:c15="http://schemas.microsoft.com/office/drawing/2012/chart" uri="{CE6537A1-D6FC-4f65-9D91-7224C49458BB}"/>
              </c:extLst>
            </c:dLbl>
            <c:dLbl>
              <c:idx val="4"/>
              <c:delete val="1"/>
            </c:dLbl>
            <c:dLbl>
              <c:idx val="5"/>
              <c:layout>
                <c:manualLayout>
                  <c:x val="0.00136911430120287"/>
                  <c:y val="-0.026394172603986"/>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15608.3</c:v>
                </c:pt>
                <c:pt idx="1">
                  <c:v>0</c:v>
                </c:pt>
                <c:pt idx="2">
                  <c:v>461.92</c:v>
                </c:pt>
                <c:pt idx="3">
                  <c:v>1664.82</c:v>
                </c:pt>
                <c:pt idx="4">
                  <c:v>0</c:v>
                </c:pt>
                <c:pt idx="5">
                  <c:v>141.59</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4"/>
        <c:delete val="1"/>
      </c:legendEntry>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7c94823-37ff-4a2e-a0f7-398f3addcf1f}"/>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12144.38</c:v>
                </c:pt>
                <c:pt idx="1">
                  <c:v>5172.85</c:v>
                </c:pt>
                <c:pt idx="2">
                  <c:v>0</c:v>
                </c:pt>
                <c:pt idx="3">
                  <c:v>1465.14</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delete val="1"/>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c337b96-a175-48e3-a74e-595973a2d3b7}"/>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2864</Words>
  <Characters>3296</Characters>
  <Lines>44</Lines>
  <Paragraphs>12</Paragraphs>
  <TotalTime>4</TotalTime>
  <ScaleCrop>false</ScaleCrop>
  <LinksUpToDate>false</LinksUpToDate>
  <CharactersWithSpaces>3315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DT</cp:lastModifiedBy>
  <cp:lastPrinted>2020-08-07T11:39:00Z</cp:lastPrinted>
  <dcterms:modified xsi:type="dcterms:W3CDTF">2025-08-26T02:46:44Z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eyJoZGlkIjoiMWE5OTI1ZmM4M2NjZGM0MTkwZTQzYjAxYTZiOWNiN2QiLCJ1c2VySWQiOiIzNzgyMDM4NjYifQ==</vt:lpwstr>
  </property>
</Properties>
</file>